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1147" w:rsidRDefault="004028F0" w:rsidP="00E61130">
      <w:pPr>
        <w:jc w:val="center"/>
        <w:rPr>
          <w:b/>
        </w:rPr>
      </w:pPr>
      <w:r w:rsidRPr="004028F0">
        <w:rPr>
          <w:b/>
        </w:rPr>
        <w:t>ENFEKSİYON ÖNLEME VE KONTROL EYLEM PLANI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5245"/>
        <w:gridCol w:w="2686"/>
      </w:tblGrid>
      <w:tr w:rsidR="00522981" w:rsidRPr="007D0311" w:rsidTr="00DC7B71">
        <w:trPr>
          <w:trHeight w:val="506"/>
        </w:trPr>
        <w:tc>
          <w:tcPr>
            <w:tcW w:w="2547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5245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EYLEM</w:t>
            </w:r>
          </w:p>
        </w:tc>
        <w:tc>
          <w:tcPr>
            <w:tcW w:w="2686" w:type="dxa"/>
          </w:tcPr>
          <w:p w:rsidR="00522981" w:rsidRPr="007D0311" w:rsidRDefault="00522981" w:rsidP="00522981">
            <w:pPr>
              <w:pStyle w:val="Default"/>
              <w:spacing w:before="131" w:after="200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7D0311">
              <w:rPr>
                <w:rFonts w:asciiTheme="minorHAnsi" w:hAnsiTheme="minorHAnsi" w:cstheme="minorHAnsi"/>
                <w:b/>
                <w:sz w:val="20"/>
                <w:szCs w:val="20"/>
              </w:rPr>
              <w:t>AÇIKLAMA</w:t>
            </w:r>
          </w:p>
        </w:tc>
      </w:tr>
      <w:tr w:rsidR="00483916" w:rsidRPr="007D0311" w:rsidTr="000D7DCD">
        <w:trPr>
          <w:trHeight w:val="70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 Girişi</w:t>
            </w:r>
          </w:p>
        </w:tc>
        <w:tc>
          <w:tcPr>
            <w:tcW w:w="5245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Okul girişlerine kişisel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hijyenle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ilgili afişlerin ve talimatların asılması.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0D7DCD">
        <w:trPr>
          <w:trHeight w:val="592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F7792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El antiseptiği /dezenfektanı ve KKD bulundurulması.</w:t>
            </w:r>
          </w:p>
        </w:tc>
        <w:tc>
          <w:tcPr>
            <w:tcW w:w="2686" w:type="dxa"/>
          </w:tcPr>
          <w:p w:rsidR="00483916" w:rsidRPr="007D0311" w:rsidRDefault="00AF4658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3303A3" w:rsidRPr="007D0311" w:rsidTr="000D7DCD">
        <w:trPr>
          <w:trHeight w:val="558"/>
        </w:trPr>
        <w:tc>
          <w:tcPr>
            <w:tcW w:w="2547" w:type="dxa"/>
            <w:vMerge w:val="restart"/>
          </w:tcPr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3303A3" w:rsidRPr="00483916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Okul Bahçesi, Açık Oyun Alanları</w:t>
            </w:r>
          </w:p>
        </w:tc>
        <w:tc>
          <w:tcPr>
            <w:tcW w:w="5245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77923">
              <w:rPr>
                <w:rFonts w:asciiTheme="minorHAnsi" w:hAnsiTheme="minorHAnsi" w:cstheme="minorHAnsi"/>
                <w:sz w:val="20"/>
                <w:szCs w:val="20"/>
              </w:rPr>
              <w:t xml:space="preserve">Zeminlerde su birikintilerine izin verilmeyecektir. </w:t>
            </w:r>
          </w:p>
        </w:tc>
        <w:tc>
          <w:tcPr>
            <w:tcW w:w="2686" w:type="dxa"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Oturma üniteleri ve diğer </w:t>
            </w:r>
            <w:proofErr w:type="gramStart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ekipmanların</w:t>
            </w:r>
            <w:proofErr w:type="gramEnd"/>
            <w:r w:rsidRPr="00201CBC">
              <w:rPr>
                <w:rFonts w:asciiTheme="minorHAnsi" w:hAnsiTheme="minorHAnsi" w:cstheme="minorHAnsi"/>
                <w:sz w:val="20"/>
                <w:szCs w:val="20"/>
              </w:rPr>
              <w:t xml:space="preserve"> (oyuncaklar, spor aletleri vb.) temizlik işlemleri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201CBC">
              <w:rPr>
                <w:rFonts w:asciiTheme="minorHAnsi" w:hAnsiTheme="minorHAnsi" w:cstheme="minorHAnsi"/>
                <w:sz w:val="20"/>
                <w:szCs w:val="20"/>
              </w:rPr>
              <w:t>yapılacaktır.</w:t>
            </w:r>
          </w:p>
        </w:tc>
        <w:tc>
          <w:tcPr>
            <w:tcW w:w="2686" w:type="dxa"/>
          </w:tcPr>
          <w:p w:rsidR="003303A3" w:rsidRPr="007D0311" w:rsidRDefault="003303A3" w:rsidP="003303A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0868F3"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lanı</w:t>
            </w:r>
          </w:p>
        </w:tc>
      </w:tr>
      <w:tr w:rsidR="003303A3" w:rsidRPr="007D0311" w:rsidTr="00DC7B71">
        <w:trPr>
          <w:trHeight w:val="868"/>
        </w:trPr>
        <w:tc>
          <w:tcPr>
            <w:tcW w:w="2547" w:type="dxa"/>
            <w:vMerge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3303A3" w:rsidRPr="007D0311" w:rsidRDefault="003303A3" w:rsidP="0034689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3303A3" w:rsidRPr="007D0311" w:rsidRDefault="003303A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Kapalı Oyun Alanları</w:t>
            </w:r>
          </w:p>
        </w:tc>
        <w:tc>
          <w:tcPr>
            <w:tcW w:w="5245" w:type="dxa"/>
          </w:tcPr>
          <w:p w:rsidR="00483916" w:rsidRPr="007D0311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Kapalı Oyun alanlarında kişiler arasında uygun mesafe olacak şekilde ve genel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önlemlere göre düzenlenecektir.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0D7DCD">
        <w:trPr>
          <w:trHeight w:val="677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8026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H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ijyenik şekilde temizlenmesi zor olan oyun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caklarla ilgili önlemler alınacaktır.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0C706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yapılması, sık kullanılan alan ve malzemelerin daha sık temizlenmesi sağlanacaktır.</w:t>
            </w:r>
          </w:p>
        </w:tc>
        <w:tc>
          <w:tcPr>
            <w:tcW w:w="2686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D93A3E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22981" w:rsidRPr="007D0311" w:rsidTr="00DC7B71">
        <w:trPr>
          <w:trHeight w:val="868"/>
        </w:trPr>
        <w:tc>
          <w:tcPr>
            <w:tcW w:w="2547" w:type="dxa"/>
          </w:tcPr>
          <w:p w:rsidR="00522981" w:rsidRPr="00483916" w:rsidRDefault="00522981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5245" w:type="dxa"/>
          </w:tcPr>
          <w:p w:rsidR="00522981" w:rsidRPr="007D0311" w:rsidRDefault="00D93A3E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93A3E">
              <w:rPr>
                <w:rFonts w:asciiTheme="minorHAnsi" w:hAnsiTheme="minorHAnsi" w:cstheme="minorHAnsi"/>
                <w:sz w:val="20"/>
                <w:szCs w:val="20"/>
              </w:rPr>
              <w:t>Girişte el antiseptikleri kullanılacaktır</w:t>
            </w:r>
            <w:r>
              <w:t>.</w:t>
            </w:r>
          </w:p>
        </w:tc>
        <w:tc>
          <w:tcPr>
            <w:tcW w:w="2686" w:type="dxa"/>
          </w:tcPr>
          <w:p w:rsidR="00522981" w:rsidRPr="007D0311" w:rsidRDefault="000868F3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Okul güvenlik kulübesinde veya bina girişinde el antiseptiği bulundurulması.</w:t>
            </w: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83916" w:rsidRPr="00483916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83916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5245" w:type="dxa"/>
          </w:tcPr>
          <w:p w:rsidR="00483916" w:rsidRPr="007D0311" w:rsidRDefault="00483916" w:rsidP="005D3DD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Kişiler arasında uygun mesafe olacak şekilde ve genel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önlemlere göre düzenlenecektir.</w:t>
            </w:r>
          </w:p>
        </w:tc>
        <w:tc>
          <w:tcPr>
            <w:tcW w:w="2686" w:type="dxa"/>
          </w:tcPr>
          <w:p w:rsidR="00483916" w:rsidRPr="007D0311" w:rsidRDefault="00483916" w:rsidP="00D910B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83916" w:rsidRPr="007D0311" w:rsidTr="00DC7B71">
        <w:trPr>
          <w:trHeight w:val="868"/>
        </w:trPr>
        <w:tc>
          <w:tcPr>
            <w:tcW w:w="2547" w:type="dxa"/>
            <w:vMerge/>
          </w:tcPr>
          <w:p w:rsidR="00483916" w:rsidRPr="007D0311" w:rsidRDefault="0048391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 w:rsidR="00AF4658"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83916" w:rsidRPr="007D0311" w:rsidRDefault="0048391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0D7DCD" w:rsidRPr="004766A2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5245" w:type="dxa"/>
          </w:tcPr>
          <w:p w:rsidR="004766A2" w:rsidRPr="007D0311" w:rsidRDefault="00080D76" w:rsidP="000868F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0D7DCD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D93A3E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AE00F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Temizlik Kontrol Formu” düzenlenmesi ve aylık olarak dosyada muhafaza edilmesi.</w:t>
            </w:r>
          </w:p>
        </w:tc>
        <w:tc>
          <w:tcPr>
            <w:tcW w:w="2686" w:type="dxa"/>
          </w:tcPr>
          <w:p w:rsidR="004766A2" w:rsidRPr="007D0311" w:rsidRDefault="004766A2" w:rsidP="002523F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Planı, Temizlik Takip Formu</w:t>
            </w:r>
          </w:p>
        </w:tc>
      </w:tr>
      <w:tr w:rsidR="004766A2" w:rsidRPr="007D0311" w:rsidTr="000D7DCD">
        <w:trPr>
          <w:trHeight w:val="666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Pr="007D0311" w:rsidRDefault="00080D76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Derslik, atölye ve laboratuvarlarda.</w:t>
            </w: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Sınıf içerisinde solunum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hijyeni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ve öksürük/hapşırık adabına uygun hareket edilmesi sağlanacaktır.</w:t>
            </w:r>
          </w:p>
        </w:tc>
        <w:tc>
          <w:tcPr>
            <w:tcW w:w="2686" w:type="dxa"/>
          </w:tcPr>
          <w:p w:rsidR="004766A2" w:rsidRPr="007D0311" w:rsidRDefault="004766A2" w:rsidP="003E113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SEKÖ</w:t>
            </w:r>
          </w:p>
        </w:tc>
      </w:tr>
      <w:tr w:rsidR="004766A2" w:rsidRPr="007D0311" w:rsidTr="00405596">
        <w:trPr>
          <w:trHeight w:val="875"/>
        </w:trPr>
        <w:tc>
          <w:tcPr>
            <w:tcW w:w="2547" w:type="dxa"/>
            <w:vMerge w:val="restart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766A2" w:rsidRP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766A2">
              <w:rPr>
                <w:rFonts w:asciiTheme="minorHAnsi" w:hAnsiTheme="minorHAnsi" w:cstheme="minorHAnsi"/>
                <w:b/>
                <w:sz w:val="20"/>
                <w:szCs w:val="20"/>
              </w:rPr>
              <w:t>Öğretmenler Odası</w:t>
            </w:r>
          </w:p>
        </w:tc>
        <w:tc>
          <w:tcPr>
            <w:tcW w:w="5245" w:type="dxa"/>
          </w:tcPr>
          <w:p w:rsidR="004766A2" w:rsidRPr="007D0311" w:rsidRDefault="00080D76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766A2" w:rsidRPr="007D0311" w:rsidRDefault="004766A2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766A2" w:rsidRPr="007D0311" w:rsidTr="00405596">
        <w:trPr>
          <w:trHeight w:val="494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0C7064" w:rsidRDefault="004766A2" w:rsidP="0059711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El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septiği bulundurulacaktır.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0D7DCD">
        <w:trPr>
          <w:trHeight w:val="800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BE1B50">
        <w:trPr>
          <w:trHeight w:val="669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Default="004766A2" w:rsidP="001B23B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durulacaktır.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6A2" w:rsidRPr="007D0311" w:rsidTr="00DC7B71">
        <w:trPr>
          <w:trHeight w:val="868"/>
        </w:trPr>
        <w:tc>
          <w:tcPr>
            <w:tcW w:w="2547" w:type="dxa"/>
            <w:vMerge/>
          </w:tcPr>
          <w:p w:rsidR="004766A2" w:rsidRPr="007D0311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766A2" w:rsidRPr="00BE1B50" w:rsidRDefault="004766A2" w:rsidP="0054271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</w:t>
            </w:r>
            <w:r w:rsidR="0054271E">
              <w:rPr>
                <w:rFonts w:asciiTheme="minorHAnsi" w:hAnsiTheme="minorHAnsi" w:cstheme="minorHAnsi"/>
                <w:sz w:val="20"/>
                <w:szCs w:val="20"/>
              </w:rPr>
              <w:t>emizlik/dezenfeksiyon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düzenli olarak temizlik ve dezenfeksiyon yapılması sağlanacaktır.</w:t>
            </w:r>
          </w:p>
        </w:tc>
        <w:tc>
          <w:tcPr>
            <w:tcW w:w="2686" w:type="dxa"/>
          </w:tcPr>
          <w:p w:rsidR="004766A2" w:rsidRDefault="004766A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927"/>
        </w:trPr>
        <w:tc>
          <w:tcPr>
            <w:tcW w:w="2547" w:type="dxa"/>
            <w:vMerge w:val="restart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6B7DBF" w:rsidRP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6B7DBF">
              <w:rPr>
                <w:rFonts w:asciiTheme="minorHAnsi" w:hAnsiTheme="minorHAnsi" w:cstheme="minorHAnsi"/>
                <w:b/>
                <w:sz w:val="20"/>
                <w:szCs w:val="20"/>
              </w:rPr>
              <w:t>Ofisler (İdari Oda, Rehberlik servisi vb.</w:t>
            </w:r>
          </w:p>
        </w:tc>
        <w:tc>
          <w:tcPr>
            <w:tcW w:w="5245" w:type="dxa"/>
          </w:tcPr>
          <w:p w:rsidR="006B7DBF" w:rsidRPr="007D0311" w:rsidRDefault="009C6204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6B7DBF" w:rsidRPr="007D0311" w:rsidRDefault="000D7DCD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6B7DBF" w:rsidRPr="007D0311" w:rsidTr="000D7DCD">
        <w:trPr>
          <w:trHeight w:val="661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0C7064" w:rsidRDefault="006B7DBF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B7DBF" w:rsidRPr="007D0311" w:rsidTr="00DC7B71">
        <w:trPr>
          <w:trHeight w:val="868"/>
        </w:trPr>
        <w:tc>
          <w:tcPr>
            <w:tcW w:w="2547" w:type="dxa"/>
            <w:vMerge/>
          </w:tcPr>
          <w:p w:rsidR="006B7DBF" w:rsidRPr="007D0311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6B7DBF" w:rsidRPr="005D3DD2" w:rsidRDefault="006B7DBF" w:rsidP="009B4BF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6B7DBF" w:rsidRDefault="006B7DBF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:rsidTr="000D7DCD">
        <w:trPr>
          <w:trHeight w:val="565"/>
        </w:trPr>
        <w:tc>
          <w:tcPr>
            <w:tcW w:w="2547" w:type="dxa"/>
            <w:vMerge w:val="restart"/>
          </w:tcPr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446ACA" w:rsidRPr="00446ACA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46ACA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5245" w:type="dxa"/>
          </w:tcPr>
          <w:p w:rsidR="00446ACA" w:rsidRPr="007D0311" w:rsidRDefault="00446ACA" w:rsidP="000D7DCD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</w:t>
            </w:r>
          </w:p>
        </w:tc>
        <w:tc>
          <w:tcPr>
            <w:tcW w:w="2686" w:type="dxa"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360C9B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Ortak kullanım ekipmanlarının periyodik</w:t>
            </w:r>
            <w:r w:rsidR="00826989">
              <w:rPr>
                <w:rFonts w:asciiTheme="minorHAnsi" w:hAnsiTheme="minorHAnsi" w:cstheme="minorHAnsi"/>
                <w:sz w:val="20"/>
                <w:szCs w:val="20"/>
              </w:rPr>
              <w:t xml:space="preserve"> olarak temizliği yapılacaktır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686" w:type="dxa"/>
          </w:tcPr>
          <w:p w:rsidR="00446ACA" w:rsidRDefault="00446ACA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826989">
        <w:trPr>
          <w:trHeight w:val="1065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7D0311" w:rsidRDefault="00826989" w:rsidP="005630A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446ACA" w:rsidRPr="007D0311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446ACA" w:rsidRPr="007D0311" w:rsidTr="00DC7B71">
        <w:trPr>
          <w:trHeight w:val="868"/>
        </w:trPr>
        <w:tc>
          <w:tcPr>
            <w:tcW w:w="2547" w:type="dxa"/>
            <w:vMerge/>
          </w:tcPr>
          <w:p w:rsidR="00446ACA" w:rsidRPr="007D0311" w:rsidRDefault="00446ACA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446ACA" w:rsidRPr="000C7064" w:rsidRDefault="00446ACA" w:rsidP="00BE1B50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 ve havalandırma sisteminin periyodik kontrolü yapılacaktır.</w:t>
            </w:r>
          </w:p>
        </w:tc>
        <w:tc>
          <w:tcPr>
            <w:tcW w:w="2686" w:type="dxa"/>
          </w:tcPr>
          <w:p w:rsidR="00446ACA" w:rsidRDefault="00446ACA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D043A8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54793" w:rsidRP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5245" w:type="dxa"/>
          </w:tcPr>
          <w:p w:rsidR="00154793" w:rsidRPr="007D0311" w:rsidRDefault="00D043A8" w:rsidP="00FA658E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154793" w:rsidRPr="007D0311" w:rsidRDefault="00154793" w:rsidP="00033E04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154793" w:rsidRPr="007D0311" w:rsidTr="00A55F7E">
        <w:trPr>
          <w:trHeight w:val="532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54793" w:rsidRPr="007D0311" w:rsidTr="00D043A8">
        <w:trPr>
          <w:trHeight w:val="1850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D043A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afiş/poster/uyarı levhası konulacaktır.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Tuvaletlerde tek kullanımlık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kağıt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havlu bulundurulacaktır.</w:t>
            </w:r>
          </w:p>
        </w:tc>
        <w:tc>
          <w:tcPr>
            <w:tcW w:w="2686" w:type="dxa"/>
          </w:tcPr>
          <w:p w:rsidR="00154793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 xml:space="preserve">Sıvı sabun, tek kullanımlık kurulama malzemeleri, el </w:t>
            </w:r>
            <w:proofErr w:type="gramStart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hijyeni</w:t>
            </w:r>
            <w:proofErr w:type="gramEnd"/>
            <w:r w:rsidRPr="00224312"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  <w:t>, el yıkama afişleri ve posterleri</w:t>
            </w:r>
          </w:p>
        </w:tc>
      </w:tr>
      <w:tr w:rsidR="00154793" w:rsidRPr="007D0311" w:rsidTr="00D043A8">
        <w:trPr>
          <w:trHeight w:val="1103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346897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durulacaktır. </w:t>
            </w:r>
          </w:p>
        </w:tc>
        <w:tc>
          <w:tcPr>
            <w:tcW w:w="2686" w:type="dxa"/>
          </w:tcPr>
          <w:p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154793" w:rsidRPr="007D0311" w:rsidTr="00D043A8">
        <w:trPr>
          <w:trHeight w:val="991"/>
        </w:trPr>
        <w:tc>
          <w:tcPr>
            <w:tcW w:w="2547" w:type="dxa"/>
            <w:vMerge/>
          </w:tcPr>
          <w:p w:rsidR="00154793" w:rsidRPr="007D0311" w:rsidRDefault="00154793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154793" w:rsidRPr="006750C7" w:rsidRDefault="00154793" w:rsidP="006750C7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6750C7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sifon şekilde olması sağlanacaktır.</w:t>
            </w:r>
          </w:p>
        </w:tc>
        <w:tc>
          <w:tcPr>
            <w:tcW w:w="2686" w:type="dxa"/>
          </w:tcPr>
          <w:p w:rsidR="00154793" w:rsidRPr="00224312" w:rsidRDefault="00154793" w:rsidP="007A424F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 w:val="restart"/>
          </w:tcPr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F52C4" w:rsidRPr="008F52C4" w:rsidRDefault="00D043A8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İbadethane/ </w:t>
            </w:r>
            <w:proofErr w:type="spellStart"/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Mescid</w:t>
            </w:r>
            <w:proofErr w:type="spellEnd"/>
          </w:p>
        </w:tc>
        <w:tc>
          <w:tcPr>
            <w:tcW w:w="5245" w:type="dxa"/>
          </w:tcPr>
          <w:p w:rsidR="00D043A8" w:rsidRDefault="00D043A8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  <w:p w:rsidR="008F52C4" w:rsidRPr="007D0311" w:rsidRDefault="008F52C4" w:rsidP="00CF7678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Periyodik olarak doğal ortam havalandırılması sağlanacaktır.</w:t>
            </w:r>
          </w:p>
        </w:tc>
        <w:tc>
          <w:tcPr>
            <w:tcW w:w="2686" w:type="dxa"/>
          </w:tcPr>
          <w:p w:rsidR="008F52C4" w:rsidRPr="007D0311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Temizlik ve Dezenfeksiyon Planı</w:t>
            </w:r>
          </w:p>
        </w:tc>
      </w:tr>
      <w:tr w:rsidR="008F52C4" w:rsidRPr="007D0311" w:rsidTr="00A55F7E">
        <w:trPr>
          <w:trHeight w:val="649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8F52C4" w:rsidRPr="000C7064" w:rsidRDefault="008F52C4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düzenlenecektir.  </w:t>
            </w:r>
          </w:p>
        </w:tc>
        <w:tc>
          <w:tcPr>
            <w:tcW w:w="2686" w:type="dxa"/>
          </w:tcPr>
          <w:p w:rsidR="008F52C4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0F7BA3" w:rsidRDefault="008F52C4" w:rsidP="00C6374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DC7B71">
              <w:rPr>
                <w:rFonts w:asciiTheme="minorHAnsi" w:hAnsiTheme="minorHAnsi" w:cstheme="minorHAnsi"/>
                <w:sz w:val="20"/>
                <w:szCs w:val="20"/>
              </w:rPr>
              <w:t>Dini kitaplar, tespih, takke, rahle, seccade, başörtüsü vb.nin ortak kullanımını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engelleyici önlemler alınacaktır.</w:t>
            </w:r>
          </w:p>
          <w:p w:rsidR="008F52C4" w:rsidRDefault="000F7BA3" w:rsidP="00C63749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izlik/dezenfeksiyon plan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larına uygun dü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zenli olarak temizlik yapılması</w:t>
            </w: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 xml:space="preserve"> sağlanacaktır.</w:t>
            </w:r>
          </w:p>
        </w:tc>
        <w:tc>
          <w:tcPr>
            <w:tcW w:w="2686" w:type="dxa"/>
          </w:tcPr>
          <w:p w:rsidR="008F52C4" w:rsidRDefault="000F7BA3" w:rsidP="00CF76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Belirli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periyotlarla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temizliğinin yapılması</w:t>
            </w:r>
          </w:p>
        </w:tc>
      </w:tr>
      <w:tr w:rsidR="008F52C4" w:rsidRPr="007D0311" w:rsidTr="00DC7B71">
        <w:trPr>
          <w:trHeight w:val="868"/>
        </w:trPr>
        <w:tc>
          <w:tcPr>
            <w:tcW w:w="2547" w:type="dxa"/>
            <w:vMerge/>
          </w:tcPr>
          <w:p w:rsidR="008F52C4" w:rsidRPr="007D0311" w:rsidRDefault="008F52C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8F52C4" w:rsidRPr="00885212" w:rsidRDefault="008F52C4" w:rsidP="00DC7B71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85212">
              <w:rPr>
                <w:rFonts w:asciiTheme="minorHAnsi" w:hAnsiTheme="minorHAnsi" w:cstheme="minorHAnsi"/>
                <w:sz w:val="20"/>
                <w:szCs w:val="20"/>
              </w:rPr>
              <w:t>Abdesthane ayrı bir bölüm olarak düzenlenmişse ‘Tuvalet ve Lavabolar’ maddesindeki düzenlemeler dikkate alınacaktır.</w:t>
            </w:r>
          </w:p>
        </w:tc>
        <w:tc>
          <w:tcPr>
            <w:tcW w:w="2686" w:type="dxa"/>
          </w:tcPr>
          <w:p w:rsidR="008F52C4" w:rsidRDefault="008F52C4" w:rsidP="00CF7678">
            <w:pPr>
              <w:pStyle w:val="Default"/>
              <w:spacing w:before="131" w:after="200"/>
              <w:jc w:val="both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</w:p>
        </w:tc>
      </w:tr>
      <w:tr w:rsidR="00A55F7E" w:rsidRPr="007D0311" w:rsidTr="00FF4AD6">
        <w:trPr>
          <w:trHeight w:val="2187"/>
        </w:trPr>
        <w:tc>
          <w:tcPr>
            <w:tcW w:w="2547" w:type="dxa"/>
            <w:vMerge w:val="restart"/>
          </w:tcPr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A55F7E" w:rsidRPr="00A55F7E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5245" w:type="dxa"/>
          </w:tcPr>
          <w:p w:rsidR="00FF4AD6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Kuruluştaki tüm tesisat, donanım, makine ve ekipmanların (enerji, ısıtma, havalandırma, iklimlendirme ekipmanları, bulaşık, çamaşır makineleri, buzdolapları, asansörler vb.) bakım ve temizlik planına uygun ve periyodik olarak kontrolleri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eğitimli ve yetkili kişi ve kuruluşlarca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yaptırılması 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sağlanacaktır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. </w:t>
            </w:r>
          </w:p>
          <w:p w:rsidR="00A55F7E" w:rsidRPr="006A2D9A" w:rsidRDefault="00A55F7E" w:rsidP="00671E15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Bakım ve temizlik kayıtları dosyalanacaktır.</w:t>
            </w:r>
          </w:p>
        </w:tc>
        <w:tc>
          <w:tcPr>
            <w:tcW w:w="2686" w:type="dxa"/>
          </w:tcPr>
          <w:p w:rsidR="00A55F7E" w:rsidRPr="00CB7313" w:rsidRDefault="00A55F7E" w:rsidP="00CB7313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CB7313"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A55F7E" w:rsidRPr="007D0311" w:rsidTr="00FF4AD6">
        <w:trPr>
          <w:trHeight w:val="915"/>
        </w:trPr>
        <w:tc>
          <w:tcPr>
            <w:tcW w:w="2547" w:type="dxa"/>
            <w:vMerge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5245" w:type="dxa"/>
          </w:tcPr>
          <w:p w:rsidR="00A55F7E" w:rsidRPr="006A2D9A" w:rsidRDefault="00A55F7E" w:rsidP="00A67B99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kurallarına uyum göstermesi </w:t>
            </w: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sağlanacaktır.</w:t>
            </w:r>
          </w:p>
        </w:tc>
        <w:tc>
          <w:tcPr>
            <w:tcW w:w="2686" w:type="dxa"/>
          </w:tcPr>
          <w:p w:rsidR="00A55F7E" w:rsidRPr="007D0311" w:rsidRDefault="00A55F7E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F30732" w:rsidRPr="007D0311" w:rsidTr="00FF4AD6">
        <w:trPr>
          <w:trHeight w:val="987"/>
        </w:trPr>
        <w:tc>
          <w:tcPr>
            <w:tcW w:w="2547" w:type="dxa"/>
          </w:tcPr>
          <w:p w:rsidR="00FF4AD6" w:rsidRDefault="00FF4AD6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5245" w:type="dxa"/>
          </w:tcPr>
          <w:p w:rsidR="00F30732" w:rsidRPr="006A2D9A" w:rsidRDefault="00671E15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Mevcut su depolarının kullanımında salgın hastalıklara yönelik riskleri önlemek ve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sürekliliğini sağlamak için güncel yasal şartlara uygunluk sağlanacaktır.</w:t>
            </w:r>
          </w:p>
        </w:tc>
        <w:tc>
          <w:tcPr>
            <w:tcW w:w="2686" w:type="dxa"/>
          </w:tcPr>
          <w:p w:rsidR="00F30732" w:rsidRPr="00350B44" w:rsidRDefault="00350B44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350B4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İnsani Tüketim Amaçlı Sular Hakkında Yönetmelik</w:t>
            </w:r>
          </w:p>
        </w:tc>
      </w:tr>
      <w:tr w:rsidR="00F30732" w:rsidRPr="007D0311" w:rsidTr="000D7DCD">
        <w:trPr>
          <w:trHeight w:val="1166"/>
        </w:trPr>
        <w:tc>
          <w:tcPr>
            <w:tcW w:w="2547" w:type="dxa"/>
          </w:tcPr>
          <w:p w:rsidR="00F30732" w:rsidRPr="00A55F7E" w:rsidRDefault="00F30732" w:rsidP="007A424F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A55F7E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5245" w:type="dxa"/>
          </w:tcPr>
          <w:p w:rsidR="00F30732" w:rsidRPr="006A2D9A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</w:t>
            </w:r>
            <w:proofErr w:type="gramStart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</w:t>
            </w:r>
            <w:r w:rsidR="00A86042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enfeksiyon risk yönetim ilkelerine uygun</w:t>
            </w:r>
            <w:r w:rsidRPr="006A2D9A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kapasite kullanım, temizlik ve dezenfeksiyon, uygun KKD kullanımı vb. şartları konusunda uygulamalar yapılacaktır.</w:t>
            </w:r>
          </w:p>
        </w:tc>
        <w:tc>
          <w:tcPr>
            <w:tcW w:w="2686" w:type="dxa"/>
          </w:tcPr>
          <w:p w:rsidR="00671E15" w:rsidRPr="007D0311" w:rsidRDefault="00671E15" w:rsidP="00A86042">
            <w:pPr>
              <w:pStyle w:val="Default"/>
              <w:spacing w:before="131" w:after="200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Temizlik ve Dezenfeksiyon </w:t>
            </w:r>
            <w:r w:rsidR="00A86042">
              <w:rPr>
                <w:rFonts w:asciiTheme="minorHAnsi" w:hAnsiTheme="minorHAnsi" w:cstheme="minorHAnsi"/>
                <w:sz w:val="20"/>
                <w:szCs w:val="20"/>
              </w:rPr>
              <w:t>Planı</w:t>
            </w:r>
          </w:p>
        </w:tc>
      </w:tr>
    </w:tbl>
    <w:p w:rsidR="00E61130" w:rsidRDefault="00E61130" w:rsidP="00E61130"/>
    <w:p w:rsidR="00FF4AD6" w:rsidRDefault="00FF4AD6" w:rsidP="00E61130"/>
    <w:p w:rsidR="002D1232" w:rsidRDefault="002D1232" w:rsidP="00E61130">
      <w:r>
        <w:t>Planı hazırlayan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A2D9A">
        <w:tab/>
      </w:r>
      <w:r>
        <w:t>Okul Müdürü</w:t>
      </w:r>
    </w:p>
    <w:p w:rsidR="002D1232" w:rsidRDefault="005C0EAE" w:rsidP="002D1232">
      <w:r>
        <w:t>Mustafa BOLAT</w:t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 w:rsidR="002D1232">
        <w:tab/>
      </w:r>
      <w:r>
        <w:t xml:space="preserve">                          Bülent BALBEY</w:t>
      </w:r>
    </w:p>
    <w:p w:rsidR="002D1232" w:rsidRDefault="005C0EAE" w:rsidP="002D1232">
      <w:r>
        <w:t>Müdür Yardımcısı</w:t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  <w:r>
        <w:tab/>
      </w:r>
    </w:p>
    <w:p w:rsidR="00B51147" w:rsidRPr="00E61130" w:rsidRDefault="00B51147" w:rsidP="006A2D9A"/>
    <w:sectPr w:rsidR="00B51147" w:rsidRPr="00E61130" w:rsidSect="00E61130">
      <w:headerReference w:type="default" r:id="rId8"/>
      <w:footerReference w:type="default" r:id="rId9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05D" w:rsidRDefault="0069205D" w:rsidP="00CD4279">
      <w:pPr>
        <w:spacing w:after="0" w:line="240" w:lineRule="auto"/>
      </w:pPr>
      <w:r>
        <w:separator/>
      </w:r>
    </w:p>
  </w:endnote>
  <w:endnote w:type="continuationSeparator" w:id="0">
    <w:p w:rsidR="0069205D" w:rsidRDefault="0069205D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4279" w:rsidRPr="008D6772" w:rsidRDefault="00E61130" w:rsidP="004028F0">
    <w:pPr>
      <w:jc w:val="center"/>
      <w:rPr>
        <w:sz w:val="20"/>
        <w:szCs w:val="20"/>
      </w:rPr>
    </w:pPr>
    <w:r w:rsidRPr="004028F0">
      <w:rPr>
        <w:sz w:val="20"/>
        <w:szCs w:val="20"/>
      </w:rPr>
      <w:ptab w:relativeTo="margin" w:alignment="center" w:leader="none"/>
    </w:r>
    <w:r w:rsidR="004028F0" w:rsidRPr="004028F0">
      <w:rPr>
        <w:sz w:val="20"/>
        <w:szCs w:val="20"/>
      </w:rPr>
      <w:t>Enfeksiyon Önleme Ve Kontrol Eylem Planı</w:t>
    </w:r>
    <w:r w:rsidRPr="008D6772">
      <w:rPr>
        <w:sz w:val="20"/>
        <w:szCs w:val="20"/>
      </w:rPr>
      <w:ptab w:relativeTo="margin" w:alignment="right" w:leader="none"/>
    </w:r>
    <w:r w:rsidR="008A6744">
      <w:rPr>
        <w:sz w:val="20"/>
        <w:szCs w:val="20"/>
      </w:rPr>
      <w:t>P</w:t>
    </w:r>
    <w:r w:rsidR="004028F0">
      <w:rPr>
        <w:sz w:val="20"/>
        <w:szCs w:val="20"/>
      </w:rPr>
      <w:t>L-003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05D" w:rsidRDefault="0069205D" w:rsidP="00CD4279">
      <w:pPr>
        <w:spacing w:after="0" w:line="240" w:lineRule="auto"/>
      </w:pPr>
      <w:r>
        <w:separator/>
      </w:r>
    </w:p>
  </w:footnote>
  <w:footnote w:type="continuationSeparator" w:id="0">
    <w:p w:rsidR="0069205D" w:rsidRDefault="0069205D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oKlavuzu"/>
      <w:tblW w:w="10475" w:type="dxa"/>
      <w:tblLook w:val="04A0" w:firstRow="1" w:lastRow="0" w:firstColumn="1" w:lastColumn="0" w:noHBand="0" w:noVBand="1"/>
    </w:tblPr>
    <w:tblGrid>
      <w:gridCol w:w="1446"/>
      <w:gridCol w:w="7778"/>
      <w:gridCol w:w="1251"/>
    </w:tblGrid>
    <w:tr w:rsidR="00B51147" w:rsidTr="00E61130">
      <w:trPr>
        <w:trHeight w:val="1107"/>
      </w:trPr>
      <w:tc>
        <w:tcPr>
          <w:tcW w:w="1261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A4674A" w:rsidP="00B51147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 wp14:anchorId="02FCFF08" wp14:editId="3ED095BF">
                <wp:extent cx="771525" cy="704850"/>
                <wp:effectExtent l="0" t="0" r="9525" b="0"/>
                <wp:docPr id="1" name="Resim 1" descr="C:\Users\SavasCORDUKOGLU\Desktop\2022-2023\LOGO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 descr="C:\Users\SavasCORDUKOGLU\Desktop\2022-2023\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1525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3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5C0EAE" w:rsidP="00B51147">
          <w:pPr>
            <w:jc w:val="center"/>
          </w:pPr>
          <w:r>
            <w:rPr>
              <w:color w:val="FF0000"/>
            </w:rPr>
            <w:t>BAYRAMLI İLKOKULU</w:t>
          </w:r>
        </w:p>
      </w:tc>
      <w:tc>
        <w:tcPr>
          <w:tcW w:w="1276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</w:tcPr>
        <w:p w:rsidR="00B51147" w:rsidRDefault="00B51147" w:rsidP="00B51147">
          <w:pPr>
            <w:jc w:val="center"/>
          </w:pPr>
        </w:p>
      </w:tc>
    </w:tr>
  </w:tbl>
  <w:p w:rsidR="00B51147" w:rsidRPr="00B51147" w:rsidRDefault="00B51147" w:rsidP="00B51147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13D9"/>
    <w:rsid w:val="00033E04"/>
    <w:rsid w:val="00063AD4"/>
    <w:rsid w:val="00080D76"/>
    <w:rsid w:val="000868F3"/>
    <w:rsid w:val="00092935"/>
    <w:rsid w:val="00093210"/>
    <w:rsid w:val="000A236D"/>
    <w:rsid w:val="000A46B7"/>
    <w:rsid w:val="000B2F61"/>
    <w:rsid w:val="000C7064"/>
    <w:rsid w:val="000D0D9D"/>
    <w:rsid w:val="000D7DCD"/>
    <w:rsid w:val="000F7BA3"/>
    <w:rsid w:val="00153644"/>
    <w:rsid w:val="00154793"/>
    <w:rsid w:val="00163BF8"/>
    <w:rsid w:val="0017664A"/>
    <w:rsid w:val="00186CD9"/>
    <w:rsid w:val="001B1A7C"/>
    <w:rsid w:val="001B23B8"/>
    <w:rsid w:val="00201CBC"/>
    <w:rsid w:val="00215617"/>
    <w:rsid w:val="0025075C"/>
    <w:rsid w:val="002523F5"/>
    <w:rsid w:val="002B71E4"/>
    <w:rsid w:val="002C22B0"/>
    <w:rsid w:val="002D1232"/>
    <w:rsid w:val="002D59D2"/>
    <w:rsid w:val="0030252B"/>
    <w:rsid w:val="003051C0"/>
    <w:rsid w:val="003303A3"/>
    <w:rsid w:val="00346897"/>
    <w:rsid w:val="00350B44"/>
    <w:rsid w:val="00360C9B"/>
    <w:rsid w:val="003C5941"/>
    <w:rsid w:val="003E1130"/>
    <w:rsid w:val="003F5B5D"/>
    <w:rsid w:val="004028F0"/>
    <w:rsid w:val="00405596"/>
    <w:rsid w:val="0042310D"/>
    <w:rsid w:val="00443434"/>
    <w:rsid w:val="00445B18"/>
    <w:rsid w:val="00446ACA"/>
    <w:rsid w:val="004766A2"/>
    <w:rsid w:val="00483916"/>
    <w:rsid w:val="004953AA"/>
    <w:rsid w:val="004D771F"/>
    <w:rsid w:val="004F31E2"/>
    <w:rsid w:val="00522981"/>
    <w:rsid w:val="00532F04"/>
    <w:rsid w:val="0054162C"/>
    <w:rsid w:val="0054271E"/>
    <w:rsid w:val="005442F0"/>
    <w:rsid w:val="00557274"/>
    <w:rsid w:val="005630AF"/>
    <w:rsid w:val="005821DD"/>
    <w:rsid w:val="00597112"/>
    <w:rsid w:val="005C0EAE"/>
    <w:rsid w:val="005D3DD2"/>
    <w:rsid w:val="00631C78"/>
    <w:rsid w:val="00657254"/>
    <w:rsid w:val="00663C45"/>
    <w:rsid w:val="00671E15"/>
    <w:rsid w:val="006750C7"/>
    <w:rsid w:val="0069205D"/>
    <w:rsid w:val="0069539E"/>
    <w:rsid w:val="006A2A5B"/>
    <w:rsid w:val="006A2D9A"/>
    <w:rsid w:val="006B7DBF"/>
    <w:rsid w:val="006E7A9A"/>
    <w:rsid w:val="00701471"/>
    <w:rsid w:val="00715E87"/>
    <w:rsid w:val="00735737"/>
    <w:rsid w:val="00751370"/>
    <w:rsid w:val="00790315"/>
    <w:rsid w:val="007A424F"/>
    <w:rsid w:val="007B2D57"/>
    <w:rsid w:val="007C2AC1"/>
    <w:rsid w:val="007D0311"/>
    <w:rsid w:val="007D10B0"/>
    <w:rsid w:val="007D62B3"/>
    <w:rsid w:val="007E49FF"/>
    <w:rsid w:val="007E4AD0"/>
    <w:rsid w:val="007E6754"/>
    <w:rsid w:val="00802699"/>
    <w:rsid w:val="00814FAE"/>
    <w:rsid w:val="00826989"/>
    <w:rsid w:val="00885212"/>
    <w:rsid w:val="008A6744"/>
    <w:rsid w:val="008C1BDF"/>
    <w:rsid w:val="008D18C0"/>
    <w:rsid w:val="008D6772"/>
    <w:rsid w:val="008F52C4"/>
    <w:rsid w:val="008F59BF"/>
    <w:rsid w:val="00926E6B"/>
    <w:rsid w:val="00937D59"/>
    <w:rsid w:val="009547CB"/>
    <w:rsid w:val="009B4BF0"/>
    <w:rsid w:val="009C6204"/>
    <w:rsid w:val="009F2E91"/>
    <w:rsid w:val="00A16398"/>
    <w:rsid w:val="00A3550D"/>
    <w:rsid w:val="00A36A95"/>
    <w:rsid w:val="00A4674A"/>
    <w:rsid w:val="00A500E8"/>
    <w:rsid w:val="00A55F7E"/>
    <w:rsid w:val="00A67B99"/>
    <w:rsid w:val="00A86042"/>
    <w:rsid w:val="00AA1AA6"/>
    <w:rsid w:val="00AA74F3"/>
    <w:rsid w:val="00AB2F15"/>
    <w:rsid w:val="00AC2493"/>
    <w:rsid w:val="00AE00F8"/>
    <w:rsid w:val="00AF4658"/>
    <w:rsid w:val="00B00461"/>
    <w:rsid w:val="00B34F17"/>
    <w:rsid w:val="00B51147"/>
    <w:rsid w:val="00B7039F"/>
    <w:rsid w:val="00B753F4"/>
    <w:rsid w:val="00B92780"/>
    <w:rsid w:val="00BA1843"/>
    <w:rsid w:val="00BE1B50"/>
    <w:rsid w:val="00C013D9"/>
    <w:rsid w:val="00C143ED"/>
    <w:rsid w:val="00C27125"/>
    <w:rsid w:val="00C455A8"/>
    <w:rsid w:val="00C63749"/>
    <w:rsid w:val="00CB7313"/>
    <w:rsid w:val="00CD0913"/>
    <w:rsid w:val="00CD31CE"/>
    <w:rsid w:val="00CD4279"/>
    <w:rsid w:val="00CE1372"/>
    <w:rsid w:val="00CF0DD2"/>
    <w:rsid w:val="00CF6E8E"/>
    <w:rsid w:val="00D01388"/>
    <w:rsid w:val="00D043A8"/>
    <w:rsid w:val="00D10D59"/>
    <w:rsid w:val="00D173D5"/>
    <w:rsid w:val="00D26703"/>
    <w:rsid w:val="00D33013"/>
    <w:rsid w:val="00D82252"/>
    <w:rsid w:val="00D910B0"/>
    <w:rsid w:val="00D93A3E"/>
    <w:rsid w:val="00DA7F11"/>
    <w:rsid w:val="00DC7B71"/>
    <w:rsid w:val="00E0202B"/>
    <w:rsid w:val="00E2205F"/>
    <w:rsid w:val="00E61130"/>
    <w:rsid w:val="00E6257E"/>
    <w:rsid w:val="00E70A9E"/>
    <w:rsid w:val="00E828BC"/>
    <w:rsid w:val="00EA4150"/>
    <w:rsid w:val="00EF3127"/>
    <w:rsid w:val="00F03418"/>
    <w:rsid w:val="00F30732"/>
    <w:rsid w:val="00F4042D"/>
    <w:rsid w:val="00F613DB"/>
    <w:rsid w:val="00F65D60"/>
    <w:rsid w:val="00F77923"/>
    <w:rsid w:val="00F839FB"/>
    <w:rsid w:val="00F93BCC"/>
    <w:rsid w:val="00F9690C"/>
    <w:rsid w:val="00FA33E0"/>
    <w:rsid w:val="00FA658E"/>
    <w:rsid w:val="00FB50A4"/>
    <w:rsid w:val="00FC1CA7"/>
    <w:rsid w:val="00FC4008"/>
    <w:rsid w:val="00FE71D4"/>
    <w:rsid w:val="00FF191A"/>
    <w:rsid w:val="00FF4A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4</Pages>
  <Words>948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IlkerIYILIK</dc:creator>
  <cp:keywords/>
  <dc:description/>
  <cp:lastModifiedBy>mevsim</cp:lastModifiedBy>
  <cp:revision>52</cp:revision>
  <cp:lastPrinted>2021-06-17T09:32:00Z</cp:lastPrinted>
  <dcterms:created xsi:type="dcterms:W3CDTF">2021-06-25T08:28:00Z</dcterms:created>
  <dcterms:modified xsi:type="dcterms:W3CDTF">2024-09-17T17:26:00Z</dcterms:modified>
</cp:coreProperties>
</file>